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363B17" w:rsidRPr="00363B17" w:rsidRDefault="00363B17">
      <w:pPr>
        <w:rPr>
          <w:rFonts w:asciiTheme="majorHAnsi" w:hAnsiTheme="majorHAnsi" w:cstheme="majorHAnsi"/>
          <w:sz w:val="36"/>
          <w:szCs w:val="36"/>
        </w:rPr>
      </w:pPr>
      <w:r w:rsidRPr="00363B17">
        <w:rPr>
          <w:rFonts w:asciiTheme="majorHAnsi" w:hAnsiTheme="majorHAnsi" w:cstheme="majorHAnsi"/>
          <w:b/>
          <w:bCs/>
          <w:color w:val="000000" w:themeColor="text1"/>
          <w:kern w:val="0"/>
          <w:sz w:val="32"/>
          <w:szCs w:val="32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</w:rPr>
        <w:t>Checkliste: Sind die Kosten von dem/der Arbeitgebenden zu übernehmen?</w:t>
      </w:r>
    </w:p>
    <w:tbl>
      <w:tblPr>
        <w:tblStyle w:val="Tabellenraster"/>
        <w:tblW w:w="9351" w:type="dxa"/>
        <w:tblLayout w:type="fixed"/>
        <w:tblLook w:val="0000" w:firstRow="0" w:lastRow="0" w:firstColumn="0" w:lastColumn="0" w:noHBand="0" w:noVBand="0"/>
      </w:tblPr>
      <w:tblGrid>
        <w:gridCol w:w="7225"/>
        <w:gridCol w:w="1134"/>
        <w:gridCol w:w="992"/>
      </w:tblGrid>
      <w:tr w:rsidR="00363B17" w:rsidRPr="00363B17" w:rsidTr="00363B17">
        <w:trPr>
          <w:trHeight w:val="308"/>
        </w:trPr>
        <w:tc>
          <w:tcPr>
            <w:tcW w:w="7225" w:type="dxa"/>
          </w:tcPr>
          <w:p w:rsidR="00363B17" w:rsidRPr="00363B17" w:rsidRDefault="00363B17" w:rsidP="00363B17">
            <w:pPr>
              <w:keepNext/>
              <w:keepLines/>
              <w:autoSpaceDE w:val="0"/>
              <w:autoSpaceDN w:val="0"/>
              <w:adjustRightInd w:val="0"/>
              <w:spacing w:before="240" w:line="260" w:lineRule="atLeast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</w:pPr>
            <w:r w:rsidRPr="00363B17">
              <w:rPr>
                <w:rFonts w:asciiTheme="majorHAnsi" w:hAnsiTheme="majorHAnsi" w:cstheme="majorHAnsi"/>
                <w:b/>
                <w:bCs/>
                <w:color w:val="000000" w:themeColor="text1"/>
                <w:kern w:val="0"/>
                <w:sz w:val="22"/>
                <w:szCs w:val="22"/>
              </w:rPr>
              <w:t>Prüfpunkte:</w:t>
            </w:r>
          </w:p>
        </w:tc>
        <w:tc>
          <w:tcPr>
            <w:tcW w:w="1134" w:type="dxa"/>
          </w:tcPr>
          <w:p w:rsidR="00363B17" w:rsidRPr="00363B17" w:rsidRDefault="00363B17" w:rsidP="00363B17">
            <w:pPr>
              <w:keepNext/>
              <w:keepLines/>
              <w:autoSpaceDE w:val="0"/>
              <w:autoSpaceDN w:val="0"/>
              <w:adjustRightInd w:val="0"/>
              <w:spacing w:before="240" w:line="260" w:lineRule="atLeast"/>
              <w:jc w:val="center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</w:pPr>
            <w:r w:rsidRPr="00363B17">
              <w:rPr>
                <w:rFonts w:asciiTheme="majorHAnsi" w:hAnsiTheme="majorHAnsi" w:cstheme="majorHAnsi"/>
                <w:b/>
                <w:bCs/>
                <w:color w:val="000000" w:themeColor="text1"/>
                <w:kern w:val="0"/>
                <w:sz w:val="22"/>
                <w:szCs w:val="22"/>
              </w:rPr>
              <w:t>Ja</w:t>
            </w:r>
          </w:p>
        </w:tc>
        <w:tc>
          <w:tcPr>
            <w:tcW w:w="992" w:type="dxa"/>
          </w:tcPr>
          <w:p w:rsidR="00363B17" w:rsidRPr="00363B17" w:rsidRDefault="00363B17" w:rsidP="00363B17">
            <w:pPr>
              <w:keepNext/>
              <w:keepLines/>
              <w:autoSpaceDE w:val="0"/>
              <w:autoSpaceDN w:val="0"/>
              <w:adjustRightInd w:val="0"/>
              <w:spacing w:before="240" w:line="260" w:lineRule="atLeast"/>
              <w:jc w:val="center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</w:pPr>
            <w:r w:rsidRPr="00363B17">
              <w:rPr>
                <w:rFonts w:asciiTheme="majorHAnsi" w:hAnsiTheme="majorHAnsi" w:cstheme="majorHAnsi"/>
                <w:b/>
                <w:bCs/>
                <w:color w:val="000000" w:themeColor="text1"/>
                <w:kern w:val="0"/>
                <w:sz w:val="22"/>
                <w:szCs w:val="22"/>
              </w:rPr>
              <w:t>Nein</w:t>
            </w:r>
          </w:p>
        </w:tc>
      </w:tr>
      <w:tr w:rsidR="00363B17" w:rsidRPr="00363B17" w:rsidTr="00363B17">
        <w:trPr>
          <w:trHeight w:val="308"/>
        </w:trPr>
        <w:tc>
          <w:tcPr>
            <w:tcW w:w="7225" w:type="dxa"/>
          </w:tcPr>
          <w:p w:rsidR="00363B17" w:rsidRPr="00363B17" w:rsidRDefault="00363B17" w:rsidP="00363B17">
            <w:pPr>
              <w:keepNext/>
              <w:keepLines/>
              <w:autoSpaceDE w:val="0"/>
              <w:autoSpaceDN w:val="0"/>
              <w:adjustRightInd w:val="0"/>
              <w:spacing w:before="240" w:line="260" w:lineRule="atLeast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</w:pPr>
            <w:r w:rsidRPr="00363B17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>Die Tätigkeit der Sachverständigen wird benötigt, weil dem Betriebsrat das erforderliche Wissen fehlt.</w:t>
            </w:r>
          </w:p>
        </w:tc>
        <w:tc>
          <w:tcPr>
            <w:tcW w:w="1134" w:type="dxa"/>
          </w:tcPr>
          <w:p w:rsidR="00363B17" w:rsidRPr="00363B17" w:rsidRDefault="00363B17" w:rsidP="00363B17">
            <w:pPr>
              <w:keepNext/>
              <w:keepLines/>
              <w:autoSpaceDE w:val="0"/>
              <w:autoSpaceDN w:val="0"/>
              <w:adjustRightInd w:val="0"/>
              <w:spacing w:before="240" w:line="260" w:lineRule="atLeast"/>
              <w:jc w:val="center"/>
              <w:textAlignment w:val="center"/>
              <w:rPr>
                <w:rFonts w:ascii="Palatino" w:hAnsi="Palatino" w:cs="Palatino"/>
                <w:color w:val="000000" w:themeColor="text1"/>
                <w:kern w:val="0"/>
                <w:sz w:val="22"/>
                <w:szCs w:val="22"/>
              </w:rPr>
            </w:pPr>
            <w:r w:rsidRPr="00363B17">
              <w:rPr>
                <w:rFonts w:ascii="Wingdings" w:hAnsi="Wingdings" w:cs="Wingdings"/>
                <w:color w:val="000000" w:themeColor="text1"/>
                <w:kern w:val="0"/>
                <w:sz w:val="22"/>
                <w:szCs w:val="22"/>
              </w:rPr>
              <w:t>q</w:t>
            </w:r>
          </w:p>
        </w:tc>
        <w:tc>
          <w:tcPr>
            <w:tcW w:w="992" w:type="dxa"/>
          </w:tcPr>
          <w:p w:rsidR="00363B17" w:rsidRPr="00363B17" w:rsidRDefault="00363B17" w:rsidP="00363B17">
            <w:pPr>
              <w:keepNext/>
              <w:keepLines/>
              <w:autoSpaceDE w:val="0"/>
              <w:autoSpaceDN w:val="0"/>
              <w:adjustRightInd w:val="0"/>
              <w:spacing w:before="240" w:line="260" w:lineRule="atLeast"/>
              <w:jc w:val="center"/>
              <w:textAlignment w:val="center"/>
              <w:rPr>
                <w:rFonts w:ascii="Palatino" w:hAnsi="Palatino" w:cs="Palatino"/>
                <w:color w:val="000000" w:themeColor="text1"/>
                <w:kern w:val="0"/>
                <w:sz w:val="22"/>
                <w:szCs w:val="22"/>
              </w:rPr>
            </w:pPr>
            <w:r w:rsidRPr="00363B17">
              <w:rPr>
                <w:rFonts w:ascii="Wingdings" w:hAnsi="Wingdings" w:cs="Wingdings"/>
                <w:color w:val="000000" w:themeColor="text1"/>
                <w:kern w:val="0"/>
                <w:sz w:val="22"/>
                <w:szCs w:val="22"/>
              </w:rPr>
              <w:t>q</w:t>
            </w:r>
          </w:p>
        </w:tc>
      </w:tr>
      <w:tr w:rsidR="00363B17" w:rsidRPr="00363B17" w:rsidTr="00363B17">
        <w:trPr>
          <w:trHeight w:val="308"/>
        </w:trPr>
        <w:tc>
          <w:tcPr>
            <w:tcW w:w="7225" w:type="dxa"/>
          </w:tcPr>
          <w:p w:rsidR="00363B17" w:rsidRPr="00363B17" w:rsidRDefault="00363B17" w:rsidP="00363B17">
            <w:pPr>
              <w:keepNext/>
              <w:keepLines/>
              <w:autoSpaceDE w:val="0"/>
              <w:autoSpaceDN w:val="0"/>
              <w:adjustRightInd w:val="0"/>
              <w:spacing w:before="240" w:line="260" w:lineRule="atLeast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</w:pPr>
            <w:r w:rsidRPr="00363B17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>Die Klärung der Frage ist erforderlich, damit der Betriebsrat seine Aufgaben ordnungsgemäß erledigen kann (oder es geht um den Einsatz von KI, dann gilt externer Sachverstand stets als erforderlich, § 80 Abs. 3 Satz 2 BetrVG).</w:t>
            </w:r>
          </w:p>
        </w:tc>
        <w:tc>
          <w:tcPr>
            <w:tcW w:w="1134" w:type="dxa"/>
          </w:tcPr>
          <w:p w:rsidR="00363B17" w:rsidRPr="00363B17" w:rsidRDefault="00363B17" w:rsidP="00363B17">
            <w:pPr>
              <w:keepNext/>
              <w:keepLines/>
              <w:autoSpaceDE w:val="0"/>
              <w:autoSpaceDN w:val="0"/>
              <w:adjustRightInd w:val="0"/>
              <w:spacing w:before="240" w:line="260" w:lineRule="atLeast"/>
              <w:jc w:val="center"/>
              <w:textAlignment w:val="center"/>
              <w:rPr>
                <w:rFonts w:ascii="Palatino" w:hAnsi="Palatino" w:cs="Palatino"/>
                <w:color w:val="000000" w:themeColor="text1"/>
                <w:kern w:val="0"/>
                <w:sz w:val="22"/>
                <w:szCs w:val="22"/>
              </w:rPr>
            </w:pPr>
            <w:r w:rsidRPr="00363B17">
              <w:rPr>
                <w:rFonts w:ascii="Wingdings" w:hAnsi="Wingdings" w:cs="Wingdings"/>
                <w:color w:val="000000" w:themeColor="text1"/>
                <w:kern w:val="0"/>
                <w:sz w:val="22"/>
                <w:szCs w:val="22"/>
              </w:rPr>
              <w:t>q</w:t>
            </w:r>
          </w:p>
        </w:tc>
        <w:tc>
          <w:tcPr>
            <w:tcW w:w="992" w:type="dxa"/>
          </w:tcPr>
          <w:p w:rsidR="00363B17" w:rsidRPr="00363B17" w:rsidRDefault="00363B17" w:rsidP="00363B17">
            <w:pPr>
              <w:keepNext/>
              <w:keepLines/>
              <w:autoSpaceDE w:val="0"/>
              <w:autoSpaceDN w:val="0"/>
              <w:adjustRightInd w:val="0"/>
              <w:spacing w:before="240" w:line="260" w:lineRule="atLeast"/>
              <w:jc w:val="center"/>
              <w:textAlignment w:val="center"/>
              <w:rPr>
                <w:rFonts w:ascii="Palatino" w:hAnsi="Palatino" w:cs="Palatino"/>
                <w:color w:val="000000" w:themeColor="text1"/>
                <w:kern w:val="0"/>
                <w:sz w:val="22"/>
                <w:szCs w:val="22"/>
              </w:rPr>
            </w:pPr>
            <w:r w:rsidRPr="00363B17">
              <w:rPr>
                <w:rFonts w:ascii="Wingdings" w:hAnsi="Wingdings" w:cs="Wingdings"/>
                <w:color w:val="000000" w:themeColor="text1"/>
                <w:kern w:val="0"/>
                <w:sz w:val="22"/>
                <w:szCs w:val="22"/>
              </w:rPr>
              <w:t>q</w:t>
            </w:r>
          </w:p>
        </w:tc>
      </w:tr>
      <w:tr w:rsidR="00363B17" w:rsidRPr="00363B17" w:rsidTr="00363B17">
        <w:trPr>
          <w:trHeight w:val="308"/>
        </w:trPr>
        <w:tc>
          <w:tcPr>
            <w:tcW w:w="7225" w:type="dxa"/>
          </w:tcPr>
          <w:p w:rsidR="00363B17" w:rsidRPr="00363B17" w:rsidRDefault="00363B17" w:rsidP="00363B17">
            <w:pPr>
              <w:keepNext/>
              <w:keepLines/>
              <w:autoSpaceDE w:val="0"/>
              <w:autoSpaceDN w:val="0"/>
              <w:adjustRightInd w:val="0"/>
              <w:spacing w:before="240" w:line="260" w:lineRule="atLeast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</w:pPr>
            <w:r w:rsidRPr="00363B17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 xml:space="preserve">Es ist ausgeschlossen, </w:t>
            </w:r>
            <w:proofErr w:type="spellStart"/>
            <w:r w:rsidRPr="00363B17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>dass</w:t>
            </w:r>
            <w:proofErr w:type="spellEnd"/>
            <w:r w:rsidRPr="00363B17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 xml:space="preserve"> das erforderliche Wissen anderweitig günstiger beschafft werden kann.</w:t>
            </w:r>
          </w:p>
        </w:tc>
        <w:tc>
          <w:tcPr>
            <w:tcW w:w="1134" w:type="dxa"/>
          </w:tcPr>
          <w:p w:rsidR="00363B17" w:rsidRPr="00363B17" w:rsidRDefault="00363B17" w:rsidP="00363B17">
            <w:pPr>
              <w:keepNext/>
              <w:keepLines/>
              <w:autoSpaceDE w:val="0"/>
              <w:autoSpaceDN w:val="0"/>
              <w:adjustRightInd w:val="0"/>
              <w:spacing w:before="240" w:line="260" w:lineRule="atLeast"/>
              <w:jc w:val="center"/>
              <w:textAlignment w:val="center"/>
              <w:rPr>
                <w:rFonts w:ascii="Palatino" w:hAnsi="Palatino" w:cs="Palatino"/>
                <w:color w:val="000000" w:themeColor="text1"/>
                <w:kern w:val="0"/>
                <w:sz w:val="22"/>
                <w:szCs w:val="22"/>
              </w:rPr>
            </w:pPr>
            <w:r w:rsidRPr="00363B17">
              <w:rPr>
                <w:rFonts w:ascii="Wingdings" w:hAnsi="Wingdings" w:cs="Wingdings"/>
                <w:color w:val="000000" w:themeColor="text1"/>
                <w:kern w:val="0"/>
                <w:sz w:val="22"/>
                <w:szCs w:val="22"/>
              </w:rPr>
              <w:t>q</w:t>
            </w:r>
          </w:p>
        </w:tc>
        <w:tc>
          <w:tcPr>
            <w:tcW w:w="992" w:type="dxa"/>
          </w:tcPr>
          <w:p w:rsidR="00363B17" w:rsidRPr="00363B17" w:rsidRDefault="00363B17" w:rsidP="00363B17">
            <w:pPr>
              <w:keepNext/>
              <w:keepLines/>
              <w:autoSpaceDE w:val="0"/>
              <w:autoSpaceDN w:val="0"/>
              <w:adjustRightInd w:val="0"/>
              <w:spacing w:before="240" w:line="260" w:lineRule="atLeast"/>
              <w:jc w:val="center"/>
              <w:textAlignment w:val="center"/>
              <w:rPr>
                <w:rFonts w:ascii="Palatino" w:hAnsi="Palatino" w:cs="Palatino"/>
                <w:color w:val="000000" w:themeColor="text1"/>
                <w:kern w:val="0"/>
                <w:sz w:val="22"/>
                <w:szCs w:val="22"/>
              </w:rPr>
            </w:pPr>
            <w:r w:rsidRPr="00363B17">
              <w:rPr>
                <w:rFonts w:ascii="Wingdings" w:hAnsi="Wingdings" w:cs="Wingdings"/>
                <w:color w:val="000000" w:themeColor="text1"/>
                <w:kern w:val="0"/>
                <w:sz w:val="22"/>
                <w:szCs w:val="22"/>
              </w:rPr>
              <w:t>q</w:t>
            </w:r>
          </w:p>
        </w:tc>
      </w:tr>
      <w:tr w:rsidR="00363B17" w:rsidRPr="00363B17" w:rsidTr="00363B17">
        <w:trPr>
          <w:trHeight w:val="348"/>
        </w:trPr>
        <w:tc>
          <w:tcPr>
            <w:tcW w:w="7225" w:type="dxa"/>
          </w:tcPr>
          <w:p w:rsidR="00363B17" w:rsidRPr="00363B17" w:rsidRDefault="00363B17" w:rsidP="00363B17">
            <w:pPr>
              <w:keepNext/>
              <w:keepLines/>
              <w:autoSpaceDE w:val="0"/>
              <w:autoSpaceDN w:val="0"/>
              <w:adjustRightInd w:val="0"/>
              <w:spacing w:before="240" w:line="260" w:lineRule="atLeast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</w:pPr>
            <w:r w:rsidRPr="00363B17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 xml:space="preserve">Der Betriebsrat hat seinen Beurteilungsspielraum ausgeübt und ist zu dem Ergebnis gekommen, </w:t>
            </w:r>
            <w:proofErr w:type="spellStart"/>
            <w:r w:rsidRPr="00363B17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>dass</w:t>
            </w:r>
            <w:proofErr w:type="spellEnd"/>
            <w:r w:rsidRPr="00363B17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 xml:space="preserve"> Kosten der Beauftragung eines/einer Sachverständigen im Verhältnis stehen.</w:t>
            </w:r>
          </w:p>
        </w:tc>
        <w:tc>
          <w:tcPr>
            <w:tcW w:w="1134" w:type="dxa"/>
          </w:tcPr>
          <w:p w:rsidR="00363B17" w:rsidRPr="00363B17" w:rsidRDefault="00363B17" w:rsidP="00363B17">
            <w:pPr>
              <w:keepNext/>
              <w:keepLines/>
              <w:autoSpaceDE w:val="0"/>
              <w:autoSpaceDN w:val="0"/>
              <w:adjustRightInd w:val="0"/>
              <w:spacing w:before="240" w:line="260" w:lineRule="atLeast"/>
              <w:jc w:val="center"/>
              <w:textAlignment w:val="center"/>
              <w:rPr>
                <w:rFonts w:ascii="Palatino" w:hAnsi="Palatino" w:cs="Palatino"/>
                <w:color w:val="000000" w:themeColor="text1"/>
                <w:kern w:val="0"/>
                <w:sz w:val="22"/>
                <w:szCs w:val="22"/>
              </w:rPr>
            </w:pPr>
            <w:r w:rsidRPr="00363B17">
              <w:rPr>
                <w:rFonts w:ascii="Wingdings" w:hAnsi="Wingdings" w:cs="Wingdings"/>
                <w:color w:val="000000" w:themeColor="text1"/>
                <w:kern w:val="0"/>
                <w:sz w:val="22"/>
                <w:szCs w:val="22"/>
              </w:rPr>
              <w:t>q</w:t>
            </w:r>
          </w:p>
        </w:tc>
        <w:tc>
          <w:tcPr>
            <w:tcW w:w="992" w:type="dxa"/>
          </w:tcPr>
          <w:p w:rsidR="00363B17" w:rsidRPr="00363B17" w:rsidRDefault="00363B17" w:rsidP="00363B17">
            <w:pPr>
              <w:keepNext/>
              <w:keepLines/>
              <w:autoSpaceDE w:val="0"/>
              <w:autoSpaceDN w:val="0"/>
              <w:adjustRightInd w:val="0"/>
              <w:spacing w:before="240" w:line="260" w:lineRule="atLeast"/>
              <w:jc w:val="center"/>
              <w:textAlignment w:val="center"/>
              <w:rPr>
                <w:rFonts w:ascii="Palatino" w:hAnsi="Palatino" w:cs="Palatino"/>
                <w:color w:val="000000" w:themeColor="text1"/>
                <w:kern w:val="0"/>
                <w:sz w:val="22"/>
                <w:szCs w:val="22"/>
              </w:rPr>
            </w:pPr>
            <w:r w:rsidRPr="00363B17">
              <w:rPr>
                <w:rFonts w:ascii="Wingdings" w:hAnsi="Wingdings" w:cs="Wingdings"/>
                <w:color w:val="000000" w:themeColor="text1"/>
                <w:kern w:val="0"/>
                <w:sz w:val="22"/>
                <w:szCs w:val="22"/>
              </w:rPr>
              <w:t>q</w:t>
            </w:r>
          </w:p>
        </w:tc>
      </w:tr>
      <w:tr w:rsidR="00363B17" w:rsidRPr="00363B17" w:rsidTr="00363B17">
        <w:trPr>
          <w:trHeight w:val="348"/>
        </w:trPr>
        <w:tc>
          <w:tcPr>
            <w:tcW w:w="7225" w:type="dxa"/>
          </w:tcPr>
          <w:p w:rsidR="00363B17" w:rsidRPr="00363B17" w:rsidRDefault="00363B17" w:rsidP="00363B17">
            <w:pPr>
              <w:keepNext/>
              <w:keepLines/>
              <w:autoSpaceDE w:val="0"/>
              <w:autoSpaceDN w:val="0"/>
              <w:adjustRightInd w:val="0"/>
              <w:spacing w:before="240" w:line="260" w:lineRule="atLeast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</w:pPr>
            <w:r w:rsidRPr="00363B17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 xml:space="preserve">Der Betriebsrat hat einen </w:t>
            </w:r>
            <w:proofErr w:type="spellStart"/>
            <w:r w:rsidRPr="00363B17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>Beschluss</w:t>
            </w:r>
            <w:proofErr w:type="spellEnd"/>
            <w:r w:rsidRPr="00363B17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 xml:space="preserve"> über die Hinzuziehung eines/einer Sachverständigen </w:t>
            </w:r>
            <w:proofErr w:type="spellStart"/>
            <w:r w:rsidRPr="00363B17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>gefasst</w:t>
            </w:r>
            <w:proofErr w:type="spellEnd"/>
            <w:r w:rsidRPr="00363B17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>.</w:t>
            </w:r>
          </w:p>
        </w:tc>
        <w:tc>
          <w:tcPr>
            <w:tcW w:w="1134" w:type="dxa"/>
          </w:tcPr>
          <w:p w:rsidR="00363B17" w:rsidRPr="00363B17" w:rsidRDefault="00363B17" w:rsidP="00363B17">
            <w:pPr>
              <w:keepNext/>
              <w:keepLines/>
              <w:autoSpaceDE w:val="0"/>
              <w:autoSpaceDN w:val="0"/>
              <w:adjustRightInd w:val="0"/>
              <w:spacing w:before="240" w:line="260" w:lineRule="atLeast"/>
              <w:jc w:val="center"/>
              <w:textAlignment w:val="center"/>
              <w:rPr>
                <w:rFonts w:ascii="Palatino" w:hAnsi="Palatino" w:cs="Palatino"/>
                <w:color w:val="000000" w:themeColor="text1"/>
                <w:kern w:val="0"/>
                <w:sz w:val="22"/>
                <w:szCs w:val="22"/>
              </w:rPr>
            </w:pPr>
            <w:r w:rsidRPr="00363B17">
              <w:rPr>
                <w:rFonts w:ascii="Wingdings" w:hAnsi="Wingdings" w:cs="Wingdings"/>
                <w:color w:val="000000" w:themeColor="text1"/>
                <w:kern w:val="0"/>
                <w:sz w:val="22"/>
                <w:szCs w:val="22"/>
              </w:rPr>
              <w:t>q</w:t>
            </w:r>
          </w:p>
        </w:tc>
        <w:tc>
          <w:tcPr>
            <w:tcW w:w="992" w:type="dxa"/>
          </w:tcPr>
          <w:p w:rsidR="00363B17" w:rsidRPr="00363B17" w:rsidRDefault="00363B17" w:rsidP="00363B17">
            <w:pPr>
              <w:keepNext/>
              <w:keepLines/>
              <w:autoSpaceDE w:val="0"/>
              <w:autoSpaceDN w:val="0"/>
              <w:adjustRightInd w:val="0"/>
              <w:spacing w:before="240" w:line="260" w:lineRule="atLeast"/>
              <w:jc w:val="center"/>
              <w:textAlignment w:val="center"/>
              <w:rPr>
                <w:rFonts w:ascii="Palatino" w:hAnsi="Palatino" w:cs="Palatino"/>
                <w:color w:val="000000" w:themeColor="text1"/>
                <w:kern w:val="0"/>
                <w:sz w:val="22"/>
                <w:szCs w:val="22"/>
              </w:rPr>
            </w:pPr>
            <w:r w:rsidRPr="00363B17">
              <w:rPr>
                <w:rFonts w:ascii="Wingdings" w:hAnsi="Wingdings" w:cs="Wingdings"/>
                <w:color w:val="000000" w:themeColor="text1"/>
                <w:kern w:val="0"/>
                <w:sz w:val="22"/>
                <w:szCs w:val="22"/>
              </w:rPr>
              <w:t>q</w:t>
            </w:r>
          </w:p>
        </w:tc>
      </w:tr>
      <w:tr w:rsidR="00363B17" w:rsidRPr="00363B17" w:rsidTr="00363B17">
        <w:trPr>
          <w:trHeight w:val="348"/>
        </w:trPr>
        <w:tc>
          <w:tcPr>
            <w:tcW w:w="7225" w:type="dxa"/>
          </w:tcPr>
          <w:p w:rsidR="00363B17" w:rsidRPr="00363B17" w:rsidRDefault="00363B17" w:rsidP="00363B17">
            <w:pPr>
              <w:keepNext/>
              <w:keepLines/>
              <w:autoSpaceDE w:val="0"/>
              <w:autoSpaceDN w:val="0"/>
              <w:adjustRightInd w:val="0"/>
              <w:spacing w:before="240" w:line="260" w:lineRule="atLeast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</w:pPr>
            <w:r w:rsidRPr="00363B17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>Es wurde unter den qualitativ gleichwertigen Sachverständigen der/die günstigste ausgewählt.</w:t>
            </w:r>
          </w:p>
        </w:tc>
        <w:tc>
          <w:tcPr>
            <w:tcW w:w="1134" w:type="dxa"/>
          </w:tcPr>
          <w:p w:rsidR="00363B17" w:rsidRPr="00363B17" w:rsidRDefault="00363B17" w:rsidP="00363B17">
            <w:pPr>
              <w:keepNext/>
              <w:keepLines/>
              <w:autoSpaceDE w:val="0"/>
              <w:autoSpaceDN w:val="0"/>
              <w:adjustRightInd w:val="0"/>
              <w:spacing w:before="240" w:line="260" w:lineRule="atLeast"/>
              <w:jc w:val="center"/>
              <w:textAlignment w:val="center"/>
              <w:rPr>
                <w:rFonts w:ascii="Palatino" w:hAnsi="Palatino" w:cs="Palatino"/>
                <w:color w:val="000000" w:themeColor="text1"/>
                <w:kern w:val="0"/>
                <w:sz w:val="22"/>
                <w:szCs w:val="22"/>
              </w:rPr>
            </w:pPr>
            <w:r w:rsidRPr="00363B17">
              <w:rPr>
                <w:rFonts w:ascii="Wingdings" w:hAnsi="Wingdings" w:cs="Wingdings"/>
                <w:color w:val="000000" w:themeColor="text1"/>
                <w:kern w:val="0"/>
                <w:sz w:val="22"/>
                <w:szCs w:val="22"/>
              </w:rPr>
              <w:t>q</w:t>
            </w:r>
          </w:p>
        </w:tc>
        <w:tc>
          <w:tcPr>
            <w:tcW w:w="992" w:type="dxa"/>
          </w:tcPr>
          <w:p w:rsidR="00363B17" w:rsidRPr="00363B17" w:rsidRDefault="00363B17" w:rsidP="00363B17">
            <w:pPr>
              <w:keepNext/>
              <w:keepLines/>
              <w:autoSpaceDE w:val="0"/>
              <w:autoSpaceDN w:val="0"/>
              <w:adjustRightInd w:val="0"/>
              <w:spacing w:before="240" w:line="260" w:lineRule="atLeast"/>
              <w:jc w:val="center"/>
              <w:textAlignment w:val="center"/>
              <w:rPr>
                <w:rFonts w:ascii="Palatino" w:hAnsi="Palatino" w:cs="Palatino"/>
                <w:color w:val="000000" w:themeColor="text1"/>
                <w:kern w:val="0"/>
                <w:sz w:val="22"/>
                <w:szCs w:val="22"/>
              </w:rPr>
            </w:pPr>
            <w:r w:rsidRPr="00363B17">
              <w:rPr>
                <w:rFonts w:ascii="Wingdings" w:hAnsi="Wingdings" w:cs="Wingdings"/>
                <w:color w:val="000000" w:themeColor="text1"/>
                <w:kern w:val="0"/>
                <w:sz w:val="22"/>
                <w:szCs w:val="22"/>
              </w:rPr>
              <w:t>q</w:t>
            </w:r>
          </w:p>
        </w:tc>
      </w:tr>
      <w:tr w:rsidR="00363B17" w:rsidRPr="00363B17" w:rsidTr="00363B17">
        <w:trPr>
          <w:trHeight w:val="348"/>
        </w:trPr>
        <w:tc>
          <w:tcPr>
            <w:tcW w:w="7225" w:type="dxa"/>
          </w:tcPr>
          <w:p w:rsidR="00363B17" w:rsidRPr="00363B17" w:rsidRDefault="00363B17" w:rsidP="00363B17">
            <w:pPr>
              <w:keepNext/>
              <w:keepLines/>
              <w:autoSpaceDE w:val="0"/>
              <w:autoSpaceDN w:val="0"/>
              <w:adjustRightInd w:val="0"/>
              <w:spacing w:before="240" w:line="260" w:lineRule="atLeast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</w:pPr>
            <w:r w:rsidRPr="00363B17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>Mit dem/der Arbeitgebenden wurde eine Vereinbarung über die Hinzuziehung des/der Sachverständigen geschlossen.</w:t>
            </w:r>
          </w:p>
        </w:tc>
        <w:tc>
          <w:tcPr>
            <w:tcW w:w="1134" w:type="dxa"/>
          </w:tcPr>
          <w:p w:rsidR="00363B17" w:rsidRPr="00363B17" w:rsidRDefault="00363B17" w:rsidP="00363B17">
            <w:pPr>
              <w:keepNext/>
              <w:keepLines/>
              <w:autoSpaceDE w:val="0"/>
              <w:autoSpaceDN w:val="0"/>
              <w:adjustRightInd w:val="0"/>
              <w:spacing w:before="240" w:line="260" w:lineRule="atLeast"/>
              <w:jc w:val="center"/>
              <w:textAlignment w:val="center"/>
              <w:rPr>
                <w:rFonts w:ascii="Palatino" w:hAnsi="Palatino" w:cs="Palatino"/>
                <w:color w:val="000000" w:themeColor="text1"/>
                <w:kern w:val="0"/>
                <w:sz w:val="22"/>
                <w:szCs w:val="22"/>
              </w:rPr>
            </w:pPr>
            <w:r w:rsidRPr="00363B17">
              <w:rPr>
                <w:rFonts w:ascii="Wingdings" w:hAnsi="Wingdings" w:cs="Wingdings"/>
                <w:color w:val="000000" w:themeColor="text1"/>
                <w:kern w:val="0"/>
                <w:sz w:val="22"/>
                <w:szCs w:val="22"/>
              </w:rPr>
              <w:t>q</w:t>
            </w:r>
          </w:p>
        </w:tc>
        <w:tc>
          <w:tcPr>
            <w:tcW w:w="992" w:type="dxa"/>
          </w:tcPr>
          <w:p w:rsidR="00363B17" w:rsidRPr="00363B17" w:rsidRDefault="00363B17" w:rsidP="00363B17">
            <w:pPr>
              <w:keepNext/>
              <w:keepLines/>
              <w:autoSpaceDE w:val="0"/>
              <w:autoSpaceDN w:val="0"/>
              <w:adjustRightInd w:val="0"/>
              <w:spacing w:before="240" w:line="260" w:lineRule="atLeast"/>
              <w:jc w:val="center"/>
              <w:textAlignment w:val="center"/>
              <w:rPr>
                <w:rFonts w:ascii="Palatino" w:hAnsi="Palatino" w:cs="Palatino"/>
                <w:color w:val="000000" w:themeColor="text1"/>
                <w:kern w:val="0"/>
                <w:sz w:val="22"/>
                <w:szCs w:val="22"/>
              </w:rPr>
            </w:pPr>
            <w:r w:rsidRPr="00363B17">
              <w:rPr>
                <w:rFonts w:ascii="Wingdings" w:hAnsi="Wingdings" w:cs="Wingdings"/>
                <w:color w:val="000000" w:themeColor="text1"/>
                <w:kern w:val="0"/>
                <w:sz w:val="22"/>
                <w:szCs w:val="22"/>
              </w:rPr>
              <w:t>q</w:t>
            </w:r>
          </w:p>
        </w:tc>
      </w:tr>
      <w:tr w:rsidR="00363B17" w:rsidRPr="00363B17" w:rsidTr="00363B17">
        <w:trPr>
          <w:trHeight w:val="348"/>
        </w:trPr>
        <w:tc>
          <w:tcPr>
            <w:tcW w:w="9351" w:type="dxa"/>
            <w:gridSpan w:val="3"/>
          </w:tcPr>
          <w:p w:rsidR="00363B17" w:rsidRPr="00363B17" w:rsidRDefault="00363B17" w:rsidP="00363B17">
            <w:pPr>
              <w:keepNext/>
              <w:keepLines/>
              <w:autoSpaceDE w:val="0"/>
              <w:autoSpaceDN w:val="0"/>
              <w:adjustRightInd w:val="0"/>
              <w:spacing w:before="240" w:line="260" w:lineRule="atLeast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</w:pPr>
            <w:r w:rsidRPr="00363B17">
              <w:rPr>
                <w:rFonts w:asciiTheme="majorHAnsi" w:hAnsiTheme="majorHAnsi" w:cstheme="majorHAnsi"/>
                <w:i/>
                <w:iCs/>
                <w:color w:val="000000" w:themeColor="text1"/>
                <w:kern w:val="0"/>
                <w:sz w:val="22"/>
                <w:szCs w:val="22"/>
              </w:rPr>
              <w:t>Können Sie alle Punkte bejahen, haben Sie einen Anspruch auf Übernahme der Kosten.</w:t>
            </w:r>
          </w:p>
        </w:tc>
      </w:tr>
    </w:tbl>
    <w:p w:rsidR="00572DD9" w:rsidRPr="00363B17" w:rsidRDefault="00572DD9" w:rsidP="00363B17">
      <w:pPr>
        <w:rPr>
          <w:sz w:val="36"/>
          <w:szCs w:val="36"/>
        </w:rPr>
      </w:pPr>
    </w:p>
    <w:sectPr w:rsidR="00572DD9" w:rsidRPr="00363B17" w:rsidSect="002024C0">
      <w:pgSz w:w="11906" w:h="16838"/>
      <w:pgMar w:top="1417" w:right="1417" w:bottom="1134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472636" w:rsidRDefault="00472636" w:rsidP="00FD1777">
      <w:pPr>
        <w:spacing w:after="0" w:line="240" w:lineRule="auto"/>
      </w:pPr>
      <w:r>
        <w:separator/>
      </w:r>
    </w:p>
  </w:endnote>
  <w:endnote w:type="continuationSeparator" w:id="0">
    <w:p w:rsidR="00472636" w:rsidRDefault="00472636" w:rsidP="00FD1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Palatino">
    <w:panose1 w:val="00000000000000000000"/>
    <w:charset w:val="4D"/>
    <w:family w:val="auto"/>
    <w:pitch w:val="variable"/>
    <w:sig w:usb0="A00002FF" w:usb1="7800205A" w:usb2="14600000" w:usb3="00000000" w:csb0="000001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472636" w:rsidRDefault="00472636" w:rsidP="00FD1777">
      <w:pPr>
        <w:spacing w:after="0" w:line="240" w:lineRule="auto"/>
      </w:pPr>
      <w:r>
        <w:separator/>
      </w:r>
    </w:p>
  </w:footnote>
  <w:footnote w:type="continuationSeparator" w:id="0">
    <w:p w:rsidR="00472636" w:rsidRDefault="00472636" w:rsidP="00FD17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160773"/>
    <w:multiLevelType w:val="hybridMultilevel"/>
    <w:tmpl w:val="56489FF4"/>
    <w:lvl w:ilvl="0" w:tplc="D7742002">
      <w:numFmt w:val="bullet"/>
      <w:lvlText w:val="•"/>
      <w:lvlJc w:val="left"/>
      <w:pPr>
        <w:ind w:left="811" w:hanging="360"/>
      </w:pPr>
      <w:rPr>
        <w:rFonts w:ascii="Calibri Light" w:eastAsiaTheme="minorEastAsia" w:hAnsi="Calibri Light" w:cs="Calibri Light" w:hint="default"/>
      </w:rPr>
    </w:lvl>
    <w:lvl w:ilvl="1" w:tplc="04070003" w:tentative="1">
      <w:start w:val="1"/>
      <w:numFmt w:val="bullet"/>
      <w:lvlText w:val="o"/>
      <w:lvlJc w:val="left"/>
      <w:pPr>
        <w:ind w:left="153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25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7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9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41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3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5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571" w:hanging="360"/>
      </w:pPr>
      <w:rPr>
        <w:rFonts w:ascii="Wingdings" w:hAnsi="Wingdings" w:hint="default"/>
      </w:rPr>
    </w:lvl>
  </w:abstractNum>
  <w:abstractNum w:abstractNumId="1" w15:restartNumberingAfterBreak="0">
    <w:nsid w:val="7E803648"/>
    <w:multiLevelType w:val="hybridMultilevel"/>
    <w:tmpl w:val="4790BDF8"/>
    <w:lvl w:ilvl="0" w:tplc="04070001">
      <w:start w:val="1"/>
      <w:numFmt w:val="bullet"/>
      <w:lvlText w:val=""/>
      <w:lvlJc w:val="left"/>
      <w:pPr>
        <w:ind w:left="89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61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3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7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4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3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651" w:hanging="360"/>
      </w:pPr>
      <w:rPr>
        <w:rFonts w:ascii="Wingdings" w:hAnsi="Wingdings" w:hint="default"/>
      </w:rPr>
    </w:lvl>
  </w:abstractNum>
  <w:num w:numId="1" w16cid:durableId="2018077005">
    <w:abstractNumId w:val="1"/>
  </w:num>
  <w:num w:numId="2" w16cid:durableId="8786606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042"/>
    <w:rsid w:val="00004A62"/>
    <w:rsid w:val="000141D2"/>
    <w:rsid w:val="000C4FD9"/>
    <w:rsid w:val="001116A3"/>
    <w:rsid w:val="00173238"/>
    <w:rsid w:val="00180743"/>
    <w:rsid w:val="001A74DC"/>
    <w:rsid w:val="002024C0"/>
    <w:rsid w:val="00286123"/>
    <w:rsid w:val="0032644E"/>
    <w:rsid w:val="00363B17"/>
    <w:rsid w:val="003A3807"/>
    <w:rsid w:val="003D3C35"/>
    <w:rsid w:val="00423B6A"/>
    <w:rsid w:val="00426D09"/>
    <w:rsid w:val="00432E46"/>
    <w:rsid w:val="00454D8F"/>
    <w:rsid w:val="00472636"/>
    <w:rsid w:val="004C2DD4"/>
    <w:rsid w:val="00534BCE"/>
    <w:rsid w:val="00572DD9"/>
    <w:rsid w:val="005E645B"/>
    <w:rsid w:val="007C3C53"/>
    <w:rsid w:val="007C42C5"/>
    <w:rsid w:val="008133A6"/>
    <w:rsid w:val="008E5619"/>
    <w:rsid w:val="009C3F35"/>
    <w:rsid w:val="009E4476"/>
    <w:rsid w:val="00A60105"/>
    <w:rsid w:val="00A93665"/>
    <w:rsid w:val="00B207A9"/>
    <w:rsid w:val="00B526BE"/>
    <w:rsid w:val="00BD0042"/>
    <w:rsid w:val="00DC404A"/>
    <w:rsid w:val="00F4443D"/>
    <w:rsid w:val="00FD1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EC1C2BF"/>
  <w15:chartTrackingRefBased/>
  <w15:docId w15:val="{14B365C8-33EA-9140-85AF-55E6D5A3D6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D0042"/>
    <w:pPr>
      <w:spacing w:after="160" w:line="278" w:lineRule="auto"/>
    </w:pPr>
    <w:rPr>
      <w:rFonts w:eastAsiaTheme="minorEastAsia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BD004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BD004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BD004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BD004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BD004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BD004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BD004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BD004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BD004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BD004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BD004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BD004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BD0042"/>
    <w:rPr>
      <w:rFonts w:eastAsiaTheme="majorEastAsia" w:cstheme="majorBidi"/>
      <w:i/>
      <w:iCs/>
      <w:color w:val="2F5496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BD0042"/>
    <w:rPr>
      <w:rFonts w:eastAsiaTheme="majorEastAsia" w:cstheme="majorBidi"/>
      <w:color w:val="2F5496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BD0042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BD0042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BD0042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BD0042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BD004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BD004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BD004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BD004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BD004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BD0042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BD0042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BD0042"/>
    <w:rPr>
      <w:i/>
      <w:iCs/>
      <w:color w:val="2F5496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BD004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BD0042"/>
    <w:rPr>
      <w:i/>
      <w:iCs/>
      <w:color w:val="2F5496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BD0042"/>
    <w:rPr>
      <w:b/>
      <w:bCs/>
      <w:smallCaps/>
      <w:color w:val="2F5496" w:themeColor="accent1" w:themeShade="BF"/>
      <w:spacing w:val="5"/>
    </w:rPr>
  </w:style>
  <w:style w:type="table" w:styleId="Tabellenraster">
    <w:name w:val="Table Grid"/>
    <w:basedOn w:val="NormaleTabelle"/>
    <w:uiPriority w:val="39"/>
    <w:rsid w:val="00FD17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FD17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D1777"/>
    <w:rPr>
      <w:rFonts w:eastAsiaTheme="minorEastAsia"/>
    </w:rPr>
  </w:style>
  <w:style w:type="paragraph" w:styleId="Fuzeile">
    <w:name w:val="footer"/>
    <w:basedOn w:val="Standard"/>
    <w:link w:val="FuzeileZchn"/>
    <w:uiPriority w:val="99"/>
    <w:unhideWhenUsed/>
    <w:rsid w:val="00FD17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D1777"/>
    <w:rPr>
      <w:rFonts w:eastAsiaTheme="minorEastAsia"/>
    </w:rPr>
  </w:style>
  <w:style w:type="paragraph" w:customStyle="1" w:styleId="p1">
    <w:name w:val="p1"/>
    <w:basedOn w:val="Standard"/>
    <w:rsid w:val="00A93665"/>
    <w:pPr>
      <w:spacing w:after="0" w:line="240" w:lineRule="auto"/>
    </w:pPr>
    <w:rPr>
      <w:rFonts w:ascii="Helvetica" w:eastAsia="Times New Roman" w:hAnsi="Helvetica" w:cs="Times New Roman"/>
      <w:color w:val="1C5C6A"/>
      <w:kern w:val="0"/>
      <w:sz w:val="16"/>
      <w:szCs w:val="16"/>
      <w:lang w:eastAsia="de-DE"/>
      <w14:ligatures w14:val="none"/>
    </w:rPr>
  </w:style>
  <w:style w:type="paragraph" w:customStyle="1" w:styleId="p2">
    <w:name w:val="p2"/>
    <w:basedOn w:val="Standard"/>
    <w:rsid w:val="00A93665"/>
    <w:pPr>
      <w:spacing w:after="0" w:line="240" w:lineRule="auto"/>
    </w:pPr>
    <w:rPr>
      <w:rFonts w:ascii="Palatino" w:eastAsia="Times New Roman" w:hAnsi="Palatino" w:cs="Times New Roman"/>
      <w:color w:val="000000"/>
      <w:kern w:val="0"/>
      <w:sz w:val="14"/>
      <w:szCs w:val="14"/>
      <w:lang w:eastAsia="de-D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152</Words>
  <Characters>959</Characters>
  <Application>Microsoft Office Word</Application>
  <DocSecurity>0</DocSecurity>
  <Lines>7</Lines>
  <Paragraphs>2</Paragraphs>
  <ScaleCrop>false</ScaleCrop>
  <Company/>
  <LinksUpToDate>false</LinksUpToDate>
  <CharactersWithSpaces>1109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Anja Lehmann</dc:creator>
  <cp:keywords/>
  <dc:description/>
  <cp:lastModifiedBy>Anja Lehmann</cp:lastModifiedBy>
  <cp:revision>2</cp:revision>
  <dcterms:created xsi:type="dcterms:W3CDTF">2026-05-17T13:49:00Z</dcterms:created>
  <dcterms:modified xsi:type="dcterms:W3CDTF">2026-05-17T13:49:00Z</dcterms:modified>
</cp:coreProperties>
</file>